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39" w:type="dxa"/>
        <w:tblInd w:w="-1026" w:type="dxa"/>
        <w:tblLayout w:type="fixed"/>
        <w:tblLook w:val="04A0" w:firstRow="1" w:lastRow="0" w:firstColumn="1" w:lastColumn="0" w:noHBand="0" w:noVBand="1"/>
      </w:tblPr>
      <w:tblGrid>
        <w:gridCol w:w="510"/>
        <w:gridCol w:w="5586"/>
        <w:gridCol w:w="567"/>
        <w:gridCol w:w="345"/>
        <w:gridCol w:w="345"/>
        <w:gridCol w:w="338"/>
        <w:gridCol w:w="338"/>
        <w:gridCol w:w="338"/>
        <w:gridCol w:w="338"/>
        <w:gridCol w:w="338"/>
        <w:gridCol w:w="338"/>
        <w:gridCol w:w="338"/>
        <w:gridCol w:w="460"/>
        <w:gridCol w:w="460"/>
        <w:gridCol w:w="460"/>
        <w:gridCol w:w="460"/>
        <w:gridCol w:w="460"/>
        <w:gridCol w:w="460"/>
        <w:gridCol w:w="460"/>
        <w:gridCol w:w="460"/>
        <w:gridCol w:w="460"/>
        <w:gridCol w:w="460"/>
        <w:gridCol w:w="460"/>
        <w:gridCol w:w="460"/>
      </w:tblGrid>
      <w:tr w:rsidR="00947D31" w:rsidRPr="00947D31" w:rsidTr="00111638">
        <w:trPr>
          <w:trHeight w:val="735"/>
        </w:trPr>
        <w:tc>
          <w:tcPr>
            <w:tcW w:w="6663" w:type="dxa"/>
            <w:gridSpan w:val="3"/>
            <w:tcBorders>
              <w:top w:val="nil"/>
              <w:left w:val="nil"/>
              <w:bottom w:val="single" w:sz="4" w:space="0" w:color="auto"/>
              <w:right w:val="nil"/>
            </w:tcBorders>
            <w:shd w:val="clear" w:color="auto" w:fill="auto"/>
            <w:vAlign w:val="bottom"/>
            <w:hideMark/>
          </w:tcPr>
          <w:p w:rsidR="00947D31" w:rsidRPr="00111638" w:rsidRDefault="00947D31" w:rsidP="00947D31">
            <w:pPr>
              <w:spacing w:after="0" w:line="240" w:lineRule="auto"/>
              <w:rPr>
                <w:rFonts w:ascii="Calibri" w:eastAsia="Times New Roman" w:hAnsi="Calibri" w:cs="Calibri"/>
                <w:b/>
                <w:bCs/>
                <w:color w:val="000000"/>
                <w:szCs w:val="20"/>
                <w:lang w:val="en-US"/>
              </w:rPr>
            </w:pPr>
            <w:bookmarkStart w:id="0" w:name="_GoBack"/>
            <w:bookmarkEnd w:id="0"/>
            <w:r w:rsidRPr="00111638">
              <w:rPr>
                <w:rFonts w:ascii="Calibri" w:eastAsia="Times New Roman" w:hAnsi="Calibri" w:cs="Calibri"/>
                <w:b/>
                <w:bCs/>
                <w:color w:val="000000"/>
                <w:szCs w:val="20"/>
                <w:lang w:val="en-US"/>
              </w:rPr>
              <w:t xml:space="preserve">Annex 2 - Implementation chart of the Twinning Project: Capacity Building of the Investigation Service of the Ministry of Finance of Georgia </w:t>
            </w:r>
          </w:p>
        </w:tc>
        <w:tc>
          <w:tcPr>
            <w:tcW w:w="8576" w:type="dxa"/>
            <w:gridSpan w:val="21"/>
            <w:tcBorders>
              <w:top w:val="nil"/>
              <w:left w:val="nil"/>
              <w:bottom w:val="single" w:sz="4" w:space="0" w:color="auto"/>
              <w:right w:val="single" w:sz="4" w:space="0" w:color="000000"/>
            </w:tcBorders>
            <w:shd w:val="clear" w:color="auto" w:fill="auto"/>
            <w:noWrap/>
            <w:vAlign w:val="center"/>
            <w:hideMark/>
          </w:tcPr>
          <w:p w:rsidR="00947D31" w:rsidRPr="00111638" w:rsidRDefault="00947D31" w:rsidP="00947D31">
            <w:pPr>
              <w:spacing w:after="0" w:line="240" w:lineRule="auto"/>
              <w:jc w:val="center"/>
              <w:rPr>
                <w:rFonts w:ascii="Calibri" w:eastAsia="Times New Roman" w:hAnsi="Calibri" w:cs="Calibri"/>
                <w:b/>
                <w:bCs/>
                <w:color w:val="000000"/>
                <w:szCs w:val="20"/>
                <w:lang w:val="en-US"/>
              </w:rPr>
            </w:pPr>
            <w:r w:rsidRPr="00111638">
              <w:rPr>
                <w:rFonts w:ascii="Calibri" w:eastAsia="Times New Roman" w:hAnsi="Calibri" w:cs="Calibri"/>
                <w:b/>
                <w:bCs/>
                <w:color w:val="000000"/>
                <w:szCs w:val="20"/>
                <w:lang w:val="en-US"/>
              </w:rPr>
              <w:t>Month</w:t>
            </w:r>
          </w:p>
        </w:tc>
      </w:tr>
      <w:tr w:rsidR="00947D31" w:rsidRPr="00947D31" w:rsidTr="00111638">
        <w:trPr>
          <w:trHeight w:val="315"/>
        </w:trPr>
        <w:tc>
          <w:tcPr>
            <w:tcW w:w="510" w:type="dxa"/>
            <w:tcBorders>
              <w:top w:val="nil"/>
              <w:left w:val="single" w:sz="4" w:space="0" w:color="auto"/>
              <w:bottom w:val="single" w:sz="4" w:space="0" w:color="auto"/>
              <w:right w:val="single" w:sz="4" w:space="0" w:color="auto"/>
            </w:tcBorders>
            <w:shd w:val="clear" w:color="000000" w:fill="F2F2F2"/>
            <w:noWrap/>
            <w:vAlign w:val="bottom"/>
            <w:hideMark/>
          </w:tcPr>
          <w:p w:rsidR="00947D31" w:rsidRPr="00947D31" w:rsidRDefault="00947D31" w:rsidP="00947D31">
            <w:pPr>
              <w:spacing w:after="0" w:line="240" w:lineRule="auto"/>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No</w:t>
            </w:r>
          </w:p>
        </w:tc>
        <w:tc>
          <w:tcPr>
            <w:tcW w:w="5586" w:type="dxa"/>
            <w:tcBorders>
              <w:top w:val="nil"/>
              <w:left w:val="nil"/>
              <w:bottom w:val="single" w:sz="4" w:space="0" w:color="auto"/>
              <w:right w:val="single" w:sz="4" w:space="0" w:color="auto"/>
            </w:tcBorders>
            <w:shd w:val="clear" w:color="000000" w:fill="F2F2F2"/>
            <w:vAlign w:val="bottom"/>
            <w:hideMark/>
          </w:tcPr>
          <w:p w:rsidR="00947D31" w:rsidRPr="00947D31" w:rsidRDefault="00947D31" w:rsidP="00947D31">
            <w:pPr>
              <w:spacing w:after="0" w:line="240" w:lineRule="auto"/>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ACTIVITY</w:t>
            </w:r>
          </w:p>
        </w:tc>
        <w:tc>
          <w:tcPr>
            <w:tcW w:w="567" w:type="dxa"/>
            <w:tcBorders>
              <w:top w:val="nil"/>
              <w:left w:val="nil"/>
              <w:bottom w:val="single" w:sz="4" w:space="0" w:color="auto"/>
              <w:right w:val="single" w:sz="4" w:space="0" w:color="auto"/>
            </w:tcBorders>
            <w:shd w:val="clear" w:color="000000" w:fill="F2F2F2"/>
            <w:noWrap/>
            <w:vAlign w:val="bottom"/>
            <w:hideMark/>
          </w:tcPr>
          <w:p w:rsidR="00947D31" w:rsidRPr="00947D31" w:rsidRDefault="00947D31" w:rsidP="00947D31">
            <w:pPr>
              <w:spacing w:after="0" w:line="240" w:lineRule="auto"/>
              <w:ind w:right="-108"/>
              <w:rPr>
                <w:rFonts w:ascii="Arial" w:eastAsia="Times New Roman" w:hAnsi="Arial" w:cs="Arial"/>
                <w:b/>
                <w:bCs/>
                <w:color w:val="000000"/>
                <w:sz w:val="20"/>
                <w:szCs w:val="20"/>
                <w:lang w:val="en-US"/>
              </w:rPr>
            </w:pPr>
            <w:r w:rsidRPr="00947D31">
              <w:rPr>
                <w:rFonts w:ascii="Arial" w:eastAsia="Times New Roman" w:hAnsi="Arial" w:cs="Arial"/>
                <w:b/>
                <w:bCs/>
                <w:color w:val="000000"/>
                <w:sz w:val="16"/>
                <w:szCs w:val="20"/>
                <w:lang w:val="en-US"/>
              </w:rPr>
              <w:t>STE days</w:t>
            </w:r>
          </w:p>
        </w:tc>
        <w:tc>
          <w:tcPr>
            <w:tcW w:w="345" w:type="dxa"/>
            <w:tcBorders>
              <w:top w:val="nil"/>
              <w:left w:val="nil"/>
              <w:bottom w:val="single" w:sz="4" w:space="0" w:color="auto"/>
              <w:right w:val="single" w:sz="4" w:space="0" w:color="auto"/>
            </w:tcBorders>
            <w:shd w:val="clear" w:color="000000" w:fill="EAF1DD"/>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w:t>
            </w:r>
          </w:p>
        </w:tc>
        <w:tc>
          <w:tcPr>
            <w:tcW w:w="345" w:type="dxa"/>
            <w:tcBorders>
              <w:top w:val="nil"/>
              <w:left w:val="nil"/>
              <w:bottom w:val="single" w:sz="4" w:space="0" w:color="auto"/>
              <w:right w:val="nil"/>
            </w:tcBorders>
            <w:shd w:val="clear" w:color="000000" w:fill="EAF1DD"/>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2</w:t>
            </w:r>
          </w:p>
        </w:tc>
        <w:tc>
          <w:tcPr>
            <w:tcW w:w="338" w:type="dxa"/>
            <w:tcBorders>
              <w:top w:val="nil"/>
              <w:left w:val="single" w:sz="4" w:space="0" w:color="auto"/>
              <w:bottom w:val="single" w:sz="4" w:space="0" w:color="auto"/>
              <w:right w:val="nil"/>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3</w:t>
            </w:r>
          </w:p>
        </w:tc>
        <w:tc>
          <w:tcPr>
            <w:tcW w:w="338" w:type="dxa"/>
            <w:tcBorders>
              <w:top w:val="nil"/>
              <w:left w:val="single" w:sz="4" w:space="0" w:color="auto"/>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4</w:t>
            </w:r>
          </w:p>
        </w:tc>
        <w:tc>
          <w:tcPr>
            <w:tcW w:w="338"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5</w:t>
            </w:r>
          </w:p>
        </w:tc>
        <w:tc>
          <w:tcPr>
            <w:tcW w:w="338"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6</w:t>
            </w:r>
          </w:p>
        </w:tc>
        <w:tc>
          <w:tcPr>
            <w:tcW w:w="338"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7</w:t>
            </w:r>
          </w:p>
        </w:tc>
        <w:tc>
          <w:tcPr>
            <w:tcW w:w="338"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8</w:t>
            </w:r>
          </w:p>
        </w:tc>
        <w:tc>
          <w:tcPr>
            <w:tcW w:w="338"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9</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10</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11</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12</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13</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14</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15</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16</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17</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18</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19</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20</w:t>
            </w:r>
          </w:p>
        </w:tc>
        <w:tc>
          <w:tcPr>
            <w:tcW w:w="460" w:type="dxa"/>
            <w:tcBorders>
              <w:top w:val="nil"/>
              <w:left w:val="nil"/>
              <w:bottom w:val="single" w:sz="4" w:space="0" w:color="auto"/>
              <w:right w:val="single" w:sz="4" w:space="0" w:color="auto"/>
            </w:tcBorders>
            <w:shd w:val="clear" w:color="000000" w:fill="EAF1DD"/>
            <w:noWrap/>
            <w:vAlign w:val="bottom"/>
            <w:hideMark/>
          </w:tcPr>
          <w:p w:rsidR="00947D31" w:rsidRPr="00111638" w:rsidRDefault="00947D31" w:rsidP="00947D31">
            <w:pPr>
              <w:spacing w:after="0" w:line="240" w:lineRule="auto"/>
              <w:jc w:val="right"/>
              <w:rPr>
                <w:rFonts w:ascii="Calibri" w:eastAsia="Times New Roman" w:hAnsi="Calibri" w:cs="Calibri"/>
                <w:b/>
                <w:bCs/>
                <w:color w:val="000000"/>
                <w:sz w:val="18"/>
                <w:szCs w:val="20"/>
                <w:lang w:val="en-US"/>
              </w:rPr>
            </w:pPr>
            <w:r w:rsidRPr="00111638">
              <w:rPr>
                <w:rFonts w:ascii="Calibri" w:eastAsia="Times New Roman" w:hAnsi="Calibri" w:cs="Calibri"/>
                <w:b/>
                <w:bCs/>
                <w:color w:val="000000"/>
                <w:sz w:val="18"/>
                <w:szCs w:val="20"/>
                <w:lang w:val="en-US"/>
              </w:rPr>
              <w:t>21</w:t>
            </w:r>
          </w:p>
        </w:tc>
      </w:tr>
      <w:tr w:rsidR="00947D31" w:rsidRPr="00947D31" w:rsidTr="00111638">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1</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RTA Installation</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45" w:type="dxa"/>
            <w:tcBorders>
              <w:top w:val="nil"/>
              <w:left w:val="nil"/>
              <w:bottom w:val="single" w:sz="4" w:space="0" w:color="auto"/>
              <w:right w:val="single" w:sz="4" w:space="0" w:color="auto"/>
            </w:tcBorders>
            <w:shd w:val="clear" w:color="000000" w:fill="CCC0DA"/>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45" w:type="dxa"/>
            <w:tcBorders>
              <w:top w:val="nil"/>
              <w:left w:val="nil"/>
              <w:bottom w:val="single" w:sz="4" w:space="0" w:color="auto"/>
              <w:right w:val="nil"/>
            </w:tcBorders>
            <w:shd w:val="clear" w:color="auto" w:fill="auto"/>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r>
      <w:tr w:rsidR="00947D31" w:rsidRPr="00947D31" w:rsidTr="00111638">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2</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Kick-off event</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3</w:t>
            </w:r>
          </w:p>
        </w:tc>
        <w:tc>
          <w:tcPr>
            <w:tcW w:w="345" w:type="dxa"/>
            <w:tcBorders>
              <w:top w:val="nil"/>
              <w:left w:val="nil"/>
              <w:bottom w:val="single" w:sz="4" w:space="0" w:color="auto"/>
              <w:right w:val="single" w:sz="4" w:space="0" w:color="auto"/>
            </w:tcBorders>
            <w:shd w:val="clear" w:color="000000" w:fill="CCC0DA"/>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45" w:type="dxa"/>
            <w:tcBorders>
              <w:top w:val="nil"/>
              <w:left w:val="nil"/>
              <w:bottom w:val="single" w:sz="4" w:space="0" w:color="auto"/>
              <w:right w:val="nil"/>
            </w:tcBorders>
            <w:shd w:val="clear" w:color="auto" w:fill="auto"/>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r>
      <w:tr w:rsidR="00947D31" w:rsidRPr="00947D31" w:rsidTr="00111638">
        <w:trPr>
          <w:trHeight w:val="6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3</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color w:val="000000"/>
                <w:sz w:val="20"/>
                <w:szCs w:val="20"/>
                <w:lang w:val="en-US"/>
              </w:rPr>
            </w:pPr>
            <w:r w:rsidRPr="00947D31">
              <w:rPr>
                <w:rFonts w:ascii="Arial" w:eastAsia="Times New Roman" w:hAnsi="Arial" w:cs="Arial"/>
                <w:b/>
                <w:bCs/>
                <w:color w:val="000000"/>
                <w:sz w:val="20"/>
                <w:szCs w:val="20"/>
                <w:lang w:val="en-US"/>
              </w:rPr>
              <w:t xml:space="preserve">Activities for Result 1. Draft of the Revised legal framework and new instructions for the Investigation Service are in place </w:t>
            </w:r>
          </w:p>
        </w:tc>
        <w:tc>
          <w:tcPr>
            <w:tcW w:w="567" w:type="dxa"/>
            <w:tcBorders>
              <w:top w:val="nil"/>
              <w:left w:val="nil"/>
              <w:bottom w:val="single" w:sz="4" w:space="0" w:color="auto"/>
              <w:right w:val="single" w:sz="4" w:space="0" w:color="auto"/>
            </w:tcBorders>
            <w:shd w:val="clear" w:color="000000" w:fill="00B0F0"/>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45"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45" w:type="dxa"/>
            <w:tcBorders>
              <w:top w:val="nil"/>
              <w:left w:val="nil"/>
              <w:bottom w:val="single" w:sz="4" w:space="0" w:color="auto"/>
              <w:right w:val="nil"/>
            </w:tcBorders>
            <w:shd w:val="clear" w:color="auto" w:fill="auto"/>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center"/>
            <w:hideMark/>
          </w:tcPr>
          <w:p w:rsidR="00947D31" w:rsidRPr="00947D31" w:rsidRDefault="00947D31" w:rsidP="00947D31">
            <w:pPr>
              <w:spacing w:after="0" w:line="240" w:lineRule="auto"/>
              <w:jc w:val="both"/>
              <w:rPr>
                <w:rFonts w:ascii="Arial" w:eastAsia="Times New Roman" w:hAnsi="Arial" w:cs="Arial"/>
                <w:sz w:val="20"/>
                <w:szCs w:val="20"/>
                <w:lang w:val="en-US"/>
              </w:rPr>
            </w:pPr>
            <w:r w:rsidRPr="00947D31">
              <w:rPr>
                <w:rFonts w:ascii="Arial" w:eastAsia="Times New Roman" w:hAnsi="Arial" w:cs="Arial"/>
                <w:sz w:val="20"/>
                <w:szCs w:val="20"/>
                <w:lang w:val="en-US"/>
              </w:rPr>
              <w:t>1.1 Assessment and analyze of the actual existing Criminal Code and Criminal Procedure Code of Georgia based on the international standards in the field of criminal law</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000000" w:fill="00B0F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000000" w:fill="00B0F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85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1.2 Drafted amendments to the Criminal Code of Georgia according EU standards to define special kind of crimes for performing procedures and regulations on modern standards according to Activity 1.1; translation completed</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000000" w:fill="00B0F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1.3 Drafted changes and amendments to the relevant laws to achieve further alignment with EU Directives referring to tax fraud legislation; translation completed.</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center"/>
            <w:hideMark/>
          </w:tcPr>
          <w:p w:rsidR="00947D31" w:rsidRPr="00947D31" w:rsidRDefault="00947D31" w:rsidP="00947D31">
            <w:pPr>
              <w:spacing w:after="0" w:line="240" w:lineRule="auto"/>
              <w:jc w:val="both"/>
              <w:rPr>
                <w:rFonts w:ascii="Arial" w:eastAsia="Times New Roman" w:hAnsi="Arial" w:cs="Arial"/>
                <w:sz w:val="20"/>
                <w:szCs w:val="20"/>
                <w:lang w:val="en-US"/>
              </w:rPr>
            </w:pPr>
            <w:r w:rsidRPr="00947D31">
              <w:rPr>
                <w:rFonts w:ascii="Arial" w:eastAsia="Times New Roman" w:hAnsi="Arial" w:cs="Arial"/>
                <w:sz w:val="20"/>
                <w:szCs w:val="20"/>
                <w:lang w:val="en-US"/>
              </w:rPr>
              <w:t>1.4 Draft operational instructions for investigators based on outcomes of the activities 1.2, and 1.3.</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1.5 Training based on new instruction for the relevant IS staff, Prosecutor’s office and the Revenue Service</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8DB4E3"/>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6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sz w:val="20"/>
                <w:szCs w:val="20"/>
                <w:lang w:val="en-US"/>
              </w:rPr>
            </w:pPr>
            <w:r w:rsidRPr="00947D31">
              <w:rPr>
                <w:rFonts w:ascii="Arial" w:eastAsia="Times New Roman" w:hAnsi="Arial" w:cs="Arial"/>
                <w:b/>
                <w:bCs/>
                <w:sz w:val="20"/>
                <w:szCs w:val="20"/>
                <w:lang w:val="en-US"/>
              </w:rPr>
              <w:t>Activities for Result 2. Human Resources Division has implemented new methods of effective management of the staff of Investigation Service</w:t>
            </w:r>
          </w:p>
        </w:tc>
        <w:tc>
          <w:tcPr>
            <w:tcW w:w="567"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2.1 Review of the present system and the structure of the IS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center"/>
            <w:hideMark/>
          </w:tcPr>
          <w:p w:rsidR="00947D31" w:rsidRPr="00947D31" w:rsidRDefault="00947D31" w:rsidP="00947D31">
            <w:pPr>
              <w:spacing w:after="0" w:line="240" w:lineRule="auto"/>
              <w:jc w:val="both"/>
              <w:rPr>
                <w:rFonts w:ascii="Arial" w:eastAsia="Times New Roman" w:hAnsi="Arial" w:cs="Arial"/>
                <w:sz w:val="20"/>
                <w:szCs w:val="20"/>
                <w:lang w:val="en-US"/>
              </w:rPr>
            </w:pPr>
            <w:r w:rsidRPr="00947D31">
              <w:rPr>
                <w:rFonts w:ascii="Arial" w:eastAsia="Times New Roman" w:hAnsi="Arial" w:cs="Arial"/>
                <w:sz w:val="20"/>
                <w:szCs w:val="20"/>
                <w:lang w:val="en-US"/>
              </w:rPr>
              <w:t>2.2 Draft action plan/roadmap of changes according findings of the activity 2.1</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2.3 Perform gap and needs analysis of the Human Resourse Management system of the IS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2.4 Elaborate operational handbook for the IS inspectors and investigators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30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2.5. Development of the methodology of the conducting the training needs analysis for the expert and investigators of the fiscal and criminal crimes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2.6 Training of management staff of the IS in the effective Hunam Rouses Management tools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6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sz w:val="20"/>
                <w:szCs w:val="20"/>
                <w:lang w:val="en-US"/>
              </w:rPr>
            </w:pPr>
            <w:r w:rsidRPr="00947D31">
              <w:rPr>
                <w:rFonts w:ascii="Arial" w:eastAsia="Times New Roman" w:hAnsi="Arial" w:cs="Arial"/>
                <w:b/>
                <w:bCs/>
                <w:sz w:val="20"/>
                <w:szCs w:val="20"/>
                <w:lang w:val="en-US"/>
              </w:rPr>
              <w:t>Activities for Result 3. New rules and procedures are introduced to combat VAT fraud and   VAT fraud related crimes in accordance with EU standards.</w:t>
            </w:r>
          </w:p>
        </w:tc>
        <w:tc>
          <w:tcPr>
            <w:tcW w:w="567"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70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lastRenderedPageBreak/>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3.1 Conduct a Gap and Needs analysis to establish divergences between Georgian Tax Code, Criminal Code and EU Directive, and to establish articles where assistance with interpretation is needed</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3.2 Develop guideline on  combating VAT fraud</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center"/>
            <w:hideMark/>
          </w:tcPr>
          <w:p w:rsidR="00947D31" w:rsidRPr="00947D31" w:rsidRDefault="00947D31" w:rsidP="00947D31">
            <w:pPr>
              <w:spacing w:after="0" w:line="240" w:lineRule="auto"/>
              <w:jc w:val="both"/>
              <w:rPr>
                <w:rFonts w:ascii="Arial" w:eastAsia="Times New Roman" w:hAnsi="Arial" w:cs="Arial"/>
                <w:sz w:val="20"/>
                <w:szCs w:val="20"/>
                <w:lang w:val="en-US"/>
              </w:rPr>
            </w:pPr>
            <w:r w:rsidRPr="00947D31">
              <w:rPr>
                <w:rFonts w:ascii="Arial" w:eastAsia="Times New Roman" w:hAnsi="Arial" w:cs="Arial"/>
                <w:sz w:val="20"/>
                <w:szCs w:val="20"/>
                <w:lang w:val="en-US"/>
              </w:rPr>
              <w:t>3.3 Conduct training courses with specialized staff of the IS regarding modern methodology of combating the VAT fraud</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center"/>
            <w:hideMark/>
          </w:tcPr>
          <w:p w:rsidR="00947D31" w:rsidRPr="00947D31" w:rsidRDefault="00947D31" w:rsidP="00947D31">
            <w:pPr>
              <w:spacing w:after="0" w:line="240" w:lineRule="auto"/>
              <w:jc w:val="both"/>
              <w:rPr>
                <w:rFonts w:ascii="Arial" w:eastAsia="Times New Roman" w:hAnsi="Arial" w:cs="Arial"/>
                <w:sz w:val="20"/>
                <w:szCs w:val="20"/>
                <w:lang w:val="en-US"/>
              </w:rPr>
            </w:pPr>
            <w:r w:rsidRPr="00947D31">
              <w:rPr>
                <w:rFonts w:ascii="Arial" w:eastAsia="Times New Roman" w:hAnsi="Arial" w:cs="Arial"/>
                <w:sz w:val="20"/>
                <w:szCs w:val="20"/>
                <w:lang w:val="en-US"/>
              </w:rPr>
              <w:t xml:space="preserve">3.4 Develop effective methodology of fighting against money laundering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30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3.5 Training of the IS staff in combating money laundering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411"/>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3.6 Improve knowledge of IS staff through training course regarding combating cyber crime (or computer crime)</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9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3.7 Developed instructions for internal training of trainers for IS staff (training for trainers scheme) to ensure that current investigation knowledge of VAT fraud including money laundering and cyber crime is available.</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3.8 Conduct study visit to MS to improve experience and practical use of investigating tax evasion and cyber crime</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3.9 Conduct study visit to MS to improve experience and practical use of money laundering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6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sz w:val="20"/>
                <w:szCs w:val="20"/>
                <w:lang w:val="en-US"/>
              </w:rPr>
            </w:pPr>
            <w:r w:rsidRPr="00947D31">
              <w:rPr>
                <w:rFonts w:ascii="Arial" w:eastAsia="Times New Roman" w:hAnsi="Arial" w:cs="Arial"/>
                <w:b/>
                <w:bCs/>
                <w:sz w:val="20"/>
                <w:szCs w:val="20"/>
                <w:lang w:val="en-US"/>
              </w:rPr>
              <w:t>Activities for Result 4. The Investigation Service has developed and improved working methods in the area of information systems and risk analysis</w:t>
            </w:r>
          </w:p>
        </w:tc>
        <w:tc>
          <w:tcPr>
            <w:tcW w:w="567"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4.1 Analyze and assess the current risk analysis system, available information and criteria of risk assessment (Intelligence Standards).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40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4.2 Prepare required manual of risk assessment (Intelligence Standards)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4.3 Draft the recommendations regarding the improvement of methods for further information, cooperation and communication.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4.4. Training of the relevant IS staff members in new criteria of risk assessment and methods in risk analysis system according to Activity 4.1, 4.2 and 4.3</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4.5 Conduct Study visit to MS to experience practical use of information system and risk management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417"/>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4.6 Conduct Study visit to MS to learn IT system in relation of the investigation of economical and financial crimes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5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sz w:val="20"/>
                <w:szCs w:val="20"/>
                <w:lang w:val="en-US"/>
              </w:rPr>
            </w:pPr>
            <w:r w:rsidRPr="00947D31">
              <w:rPr>
                <w:rFonts w:ascii="Arial" w:eastAsia="Times New Roman" w:hAnsi="Arial" w:cs="Arial"/>
                <w:b/>
                <w:bCs/>
                <w:sz w:val="20"/>
                <w:szCs w:val="20"/>
                <w:lang w:val="en-US"/>
              </w:rPr>
              <w:t>Activities for Result 5. Modern methodologies of fighting against IPR related crimes are established based on EU best practice.</w:t>
            </w:r>
          </w:p>
        </w:tc>
        <w:tc>
          <w:tcPr>
            <w:tcW w:w="567"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5.1 Assess the current situation concerning IPR crimes in Georgia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lastRenderedPageBreak/>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5.2 Develop Action Plan for the investigators to effective combating IPR crimes in Georgia</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25</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5.3 Train officers in the field of Investigation of Intellectual Property Rights crimes</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10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single" w:sz="4" w:space="0" w:color="auto"/>
            </w:tcBorders>
            <w:shd w:val="clear" w:color="auto" w:fill="auto"/>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xml:space="preserve">5.4 Conduct Study visit to MS to experience practical use of current control procedures </w:t>
            </w:r>
          </w:p>
        </w:tc>
        <w:tc>
          <w:tcPr>
            <w:tcW w:w="567"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0</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FFFF00"/>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center"/>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5586" w:type="dxa"/>
            <w:tcBorders>
              <w:top w:val="nil"/>
              <w:left w:val="nil"/>
              <w:bottom w:val="single" w:sz="4" w:space="0" w:color="auto"/>
              <w:right w:val="nil"/>
            </w:tcBorders>
            <w:shd w:val="clear" w:color="auto" w:fill="auto"/>
            <w:vAlign w:val="bottom"/>
            <w:hideMark/>
          </w:tcPr>
          <w:p w:rsidR="00947D31" w:rsidRPr="00947D31" w:rsidRDefault="00947D31" w:rsidP="00947D31">
            <w:pPr>
              <w:spacing w:after="0" w:line="240" w:lineRule="auto"/>
              <w:rPr>
                <w:rFonts w:ascii="Arial" w:eastAsia="Times New Roman" w:hAnsi="Arial" w:cs="Arial"/>
                <w:b/>
                <w:bCs/>
                <w:sz w:val="20"/>
                <w:szCs w:val="20"/>
                <w:lang w:val="en-US"/>
              </w:rPr>
            </w:pPr>
            <w:r w:rsidRPr="00947D31">
              <w:rPr>
                <w:rFonts w:ascii="Arial" w:eastAsia="Times New Roman" w:hAnsi="Arial" w:cs="Arial"/>
                <w:b/>
                <w:bCs/>
                <w:sz w:val="20"/>
                <w:szCs w:val="20"/>
                <w:lang w:val="en-US"/>
              </w:rPr>
              <w:t>Closing conference</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sz w:val="20"/>
                <w:szCs w:val="20"/>
                <w:lang w:val="en-US"/>
              </w:rPr>
            </w:pPr>
            <w:r w:rsidRPr="00947D31">
              <w:rPr>
                <w:rFonts w:ascii="Arial" w:eastAsia="Times New Roman" w:hAnsi="Arial" w:cs="Arial"/>
                <w:sz w:val="20"/>
                <w:szCs w:val="20"/>
                <w:lang w:val="en-US"/>
              </w:rPr>
              <w:t>3</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45"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338"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c>
          <w:tcPr>
            <w:tcW w:w="460" w:type="dxa"/>
            <w:tcBorders>
              <w:top w:val="nil"/>
              <w:left w:val="nil"/>
              <w:bottom w:val="single" w:sz="4" w:space="0" w:color="auto"/>
              <w:right w:val="single" w:sz="4" w:space="0" w:color="auto"/>
            </w:tcBorders>
            <w:shd w:val="clear" w:color="000000" w:fill="CCC0DA"/>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r w:rsidRPr="00947D31">
              <w:rPr>
                <w:rFonts w:ascii="Arial" w:eastAsia="Times New Roman" w:hAnsi="Arial" w:cs="Arial"/>
                <w:sz w:val="20"/>
                <w:szCs w:val="20"/>
                <w:lang w:val="en-US"/>
              </w:rPr>
              <w:t> </w:t>
            </w:r>
          </w:p>
        </w:tc>
      </w:tr>
      <w:tr w:rsidR="00947D31" w:rsidRPr="00947D31" w:rsidTr="00111638">
        <w:trPr>
          <w:trHeight w:val="300"/>
        </w:trPr>
        <w:tc>
          <w:tcPr>
            <w:tcW w:w="51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5586" w:type="dxa"/>
            <w:tcBorders>
              <w:top w:val="nil"/>
              <w:left w:val="single" w:sz="4" w:space="0" w:color="auto"/>
              <w:bottom w:val="single" w:sz="4" w:space="0" w:color="auto"/>
              <w:right w:val="nil"/>
            </w:tcBorders>
            <w:shd w:val="clear" w:color="auto" w:fill="auto"/>
            <w:vAlign w:val="bottom"/>
            <w:hideMark/>
          </w:tcPr>
          <w:p w:rsidR="00947D31" w:rsidRPr="00947D31" w:rsidRDefault="00947D31" w:rsidP="00947D31">
            <w:pPr>
              <w:spacing w:after="0" w:line="240" w:lineRule="auto"/>
              <w:jc w:val="right"/>
              <w:rPr>
                <w:rFonts w:ascii="Calibri" w:eastAsia="Times New Roman" w:hAnsi="Calibri" w:cs="Calibri"/>
                <w:b/>
                <w:bCs/>
                <w:color w:val="000000"/>
                <w:sz w:val="20"/>
                <w:szCs w:val="20"/>
                <w:lang w:val="en-US"/>
              </w:rPr>
            </w:pPr>
            <w:r w:rsidRPr="00947D31">
              <w:rPr>
                <w:rFonts w:ascii="Calibri" w:eastAsia="Times New Roman" w:hAnsi="Calibri" w:cs="Calibri"/>
                <w:b/>
                <w:bCs/>
                <w:color w:val="000000"/>
                <w:sz w:val="20"/>
                <w:szCs w:val="20"/>
                <w:lang w:val="en-US"/>
              </w:rPr>
              <w:t>Total</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47D31" w:rsidRPr="00947D31" w:rsidRDefault="00947D31" w:rsidP="00947D31">
            <w:pPr>
              <w:spacing w:after="0" w:line="240" w:lineRule="auto"/>
              <w:jc w:val="right"/>
              <w:rPr>
                <w:rFonts w:ascii="Arial" w:eastAsia="Times New Roman" w:hAnsi="Arial" w:cs="Arial"/>
                <w:b/>
                <w:bCs/>
                <w:sz w:val="20"/>
                <w:szCs w:val="20"/>
                <w:lang w:val="en-US"/>
              </w:rPr>
            </w:pPr>
            <w:r w:rsidRPr="00947D31">
              <w:rPr>
                <w:rFonts w:ascii="Arial" w:eastAsia="Times New Roman" w:hAnsi="Arial" w:cs="Arial"/>
                <w:b/>
                <w:bCs/>
                <w:sz w:val="20"/>
                <w:szCs w:val="20"/>
                <w:lang w:val="en-US"/>
              </w:rPr>
              <w:t>486</w:t>
            </w:r>
          </w:p>
        </w:tc>
        <w:tc>
          <w:tcPr>
            <w:tcW w:w="345"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color w:val="000000"/>
                <w:sz w:val="20"/>
                <w:szCs w:val="20"/>
                <w:lang w:val="en-US"/>
              </w:rPr>
            </w:pPr>
          </w:p>
        </w:tc>
        <w:tc>
          <w:tcPr>
            <w:tcW w:w="345"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Calibri" w:eastAsia="Times New Roman" w:hAnsi="Calibri" w:cs="Calibri"/>
                <w:color w:val="000000"/>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338"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c>
          <w:tcPr>
            <w:tcW w:w="460" w:type="dxa"/>
            <w:tcBorders>
              <w:top w:val="nil"/>
              <w:left w:val="nil"/>
              <w:bottom w:val="nil"/>
              <w:right w:val="nil"/>
            </w:tcBorders>
            <w:shd w:val="clear" w:color="auto" w:fill="auto"/>
            <w:noWrap/>
            <w:vAlign w:val="bottom"/>
            <w:hideMark/>
          </w:tcPr>
          <w:p w:rsidR="00947D31" w:rsidRPr="00947D31" w:rsidRDefault="00947D31" w:rsidP="00947D31">
            <w:pPr>
              <w:spacing w:after="0" w:line="240" w:lineRule="auto"/>
              <w:rPr>
                <w:rFonts w:ascii="Arial" w:eastAsia="Times New Roman" w:hAnsi="Arial" w:cs="Arial"/>
                <w:sz w:val="20"/>
                <w:szCs w:val="20"/>
                <w:lang w:val="en-US"/>
              </w:rPr>
            </w:pPr>
          </w:p>
        </w:tc>
      </w:tr>
    </w:tbl>
    <w:p w:rsidR="000D656D" w:rsidRPr="00947D31" w:rsidRDefault="000D656D" w:rsidP="00947D31">
      <w:pPr>
        <w:rPr>
          <w:sz w:val="20"/>
          <w:szCs w:val="20"/>
        </w:rPr>
      </w:pPr>
    </w:p>
    <w:sectPr w:rsidR="000D656D" w:rsidRPr="00947D31" w:rsidSect="00111638">
      <w:footerReference w:type="default" r:id="rId7"/>
      <w:pgSz w:w="15840" w:h="12240" w:orient="landscape"/>
      <w:pgMar w:top="851" w:right="1440" w:bottom="709" w:left="1440" w:header="720" w:footer="2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A45" w:rsidRDefault="00110A45" w:rsidP="00111638">
      <w:pPr>
        <w:spacing w:after="0" w:line="240" w:lineRule="auto"/>
      </w:pPr>
      <w:r>
        <w:separator/>
      </w:r>
    </w:p>
  </w:endnote>
  <w:endnote w:type="continuationSeparator" w:id="0">
    <w:p w:rsidR="00110A45" w:rsidRDefault="00110A45" w:rsidP="0011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76427"/>
      <w:docPartObj>
        <w:docPartGallery w:val="Page Numbers (Bottom of Page)"/>
        <w:docPartUnique/>
      </w:docPartObj>
    </w:sdtPr>
    <w:sdtEndPr/>
    <w:sdtContent>
      <w:p w:rsidR="00111638" w:rsidRDefault="007617C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111638" w:rsidRDefault="001116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A45" w:rsidRDefault="00110A45" w:rsidP="00111638">
      <w:pPr>
        <w:spacing w:after="0" w:line="240" w:lineRule="auto"/>
      </w:pPr>
      <w:r>
        <w:separator/>
      </w:r>
    </w:p>
  </w:footnote>
  <w:footnote w:type="continuationSeparator" w:id="0">
    <w:p w:rsidR="00110A45" w:rsidRDefault="00110A45" w:rsidP="001116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57A"/>
    <w:rsid w:val="00036EDE"/>
    <w:rsid w:val="000D656D"/>
    <w:rsid w:val="00110A45"/>
    <w:rsid w:val="00111638"/>
    <w:rsid w:val="00154E2B"/>
    <w:rsid w:val="00167C39"/>
    <w:rsid w:val="004134C1"/>
    <w:rsid w:val="00567AFE"/>
    <w:rsid w:val="00734C33"/>
    <w:rsid w:val="007617C0"/>
    <w:rsid w:val="008601C1"/>
    <w:rsid w:val="00947D31"/>
    <w:rsid w:val="00B004F4"/>
    <w:rsid w:val="00C6657A"/>
    <w:rsid w:val="00D10235"/>
    <w:rsid w:val="00E51F94"/>
    <w:rsid w:val="00ED3156"/>
    <w:rsid w:val="00F05CC0"/>
    <w:rsid w:val="00F64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1163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1638"/>
    <w:rPr>
      <w:lang w:val="en-GB"/>
    </w:rPr>
  </w:style>
  <w:style w:type="paragraph" w:styleId="Footer">
    <w:name w:val="footer"/>
    <w:basedOn w:val="Normal"/>
    <w:link w:val="FooterChar"/>
    <w:uiPriority w:val="99"/>
    <w:unhideWhenUsed/>
    <w:rsid w:val="001116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638"/>
    <w:rPr>
      <w:lang w:val="en-GB"/>
    </w:rPr>
  </w:style>
  <w:style w:type="paragraph" w:styleId="BalloonText">
    <w:name w:val="Balloon Text"/>
    <w:basedOn w:val="Normal"/>
    <w:link w:val="BalloonTextChar"/>
    <w:uiPriority w:val="99"/>
    <w:semiHidden/>
    <w:unhideWhenUsed/>
    <w:rsid w:val="007617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7C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1163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1638"/>
    <w:rPr>
      <w:lang w:val="en-GB"/>
    </w:rPr>
  </w:style>
  <w:style w:type="paragraph" w:styleId="Footer">
    <w:name w:val="footer"/>
    <w:basedOn w:val="Normal"/>
    <w:link w:val="FooterChar"/>
    <w:uiPriority w:val="99"/>
    <w:unhideWhenUsed/>
    <w:rsid w:val="001116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638"/>
    <w:rPr>
      <w:lang w:val="en-GB"/>
    </w:rPr>
  </w:style>
  <w:style w:type="paragraph" w:styleId="BalloonText">
    <w:name w:val="Balloon Text"/>
    <w:basedOn w:val="Normal"/>
    <w:link w:val="BalloonTextChar"/>
    <w:uiPriority w:val="99"/>
    <w:semiHidden/>
    <w:unhideWhenUsed/>
    <w:rsid w:val="007617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7C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5268</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 Baramidze</dc:creator>
  <cp:lastModifiedBy>GHIOSHVILI Khatuna (EEAS-TBILISI)</cp:lastModifiedBy>
  <cp:revision>2</cp:revision>
  <cp:lastPrinted>2014-05-16T12:23:00Z</cp:lastPrinted>
  <dcterms:created xsi:type="dcterms:W3CDTF">2014-05-16T12:23:00Z</dcterms:created>
  <dcterms:modified xsi:type="dcterms:W3CDTF">2014-05-16T12:23:00Z</dcterms:modified>
</cp:coreProperties>
</file>